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65" w:rsidRDefault="00FC6965" w:rsidP="00FC6965">
      <w:pPr>
        <w:spacing w:after="150"/>
      </w:pPr>
      <w:proofErr w:type="spellStart"/>
      <w:r>
        <w:rPr>
          <w:color w:val="000000"/>
        </w:rPr>
        <w:t>Прилог</w:t>
      </w:r>
      <w:proofErr w:type="spellEnd"/>
      <w:r>
        <w:rPr>
          <w:color w:val="000000"/>
        </w:rPr>
        <w:t xml:space="preserve"> 1</w:t>
      </w:r>
    </w:p>
    <w:p w:rsidR="00FC6965" w:rsidRDefault="00FC6965" w:rsidP="00FC6965">
      <w:pPr>
        <w:spacing w:after="150"/>
      </w:pPr>
      <w:r>
        <w:rPr>
          <w:color w:val="000000"/>
        </w:rPr>
        <w:t>ПРОГРАМ АФИРМАТИВНЕ МЕРЕ УПИСА ЛИЦА СА ИНВАЛИДИТЕТОМ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</w:t>
      </w:r>
      <w:proofErr w:type="spellEnd"/>
    </w:p>
    <w:p w:rsidR="00FC6965" w:rsidRDefault="00FC6965" w:rsidP="00FC6965">
      <w:pPr>
        <w:spacing w:after="150"/>
      </w:pPr>
      <w:r>
        <w:rPr>
          <w:color w:val="000000"/>
        </w:rPr>
        <w:t xml:space="preserve">1.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интегрисаних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оснивач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школској</w:t>
      </w:r>
      <w:proofErr w:type="spellEnd"/>
      <w:r>
        <w:rPr>
          <w:color w:val="000000"/>
        </w:rPr>
        <w:t xml:space="preserve"> 2022/2023. </w:t>
      </w:r>
      <w:proofErr w:type="spellStart"/>
      <w:proofErr w:type="gramStart"/>
      <w:r>
        <w:rPr>
          <w:color w:val="000000"/>
        </w:rPr>
        <w:t>години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</w:t>
      </w:r>
      <w:proofErr w:type="spellEnd"/>
      <w:r>
        <w:rPr>
          <w:color w:val="000000"/>
        </w:rPr>
        <w:t>: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корисници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отежано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крећу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са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делимичним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потпуним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оштећењем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слепи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слабовиди</w:t>
      </w:r>
      <w:proofErr w:type="spellEnd"/>
      <w:r>
        <w:rPr>
          <w:color w:val="000000"/>
        </w:rPr>
        <w:t>),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са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делимичним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потпуним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оштећењем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слуха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глуви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наглуви</w:t>
      </w:r>
      <w:proofErr w:type="spellEnd"/>
      <w:r>
        <w:rPr>
          <w:color w:val="000000"/>
        </w:rPr>
        <w:t>),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који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потешкоће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учењу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дислексија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дисграфија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дискалкулија</w:t>
      </w:r>
      <w:proofErr w:type="spellEnd"/>
      <w:r>
        <w:rPr>
          <w:color w:val="000000"/>
        </w:rPr>
        <w:t>),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који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тешкоће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говору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са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хроничним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обољењима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хемофилија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епилепсија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дијабетес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малигна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обољења</w:t>
      </w:r>
      <w:proofErr w:type="spellEnd"/>
      <w:r>
        <w:rPr>
          <w:color w:val="000000"/>
        </w:rPr>
        <w:t>),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са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психолошким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менталним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тешкоћама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Приликом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један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докумената</w:t>
      </w:r>
      <w:proofErr w:type="spellEnd"/>
      <w:r>
        <w:rPr>
          <w:color w:val="000000"/>
        </w:rPr>
        <w:t>: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решење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постојању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телесног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оштећења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решење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помоћ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мишљење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Интерресорне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мишљење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статусу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саставу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>,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потврду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удружења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формирано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подршку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студентима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>*</w:t>
      </w:r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здравствена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институција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месеци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Неопходно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лекарског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здравствено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исходе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свакодневно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функционисање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>.</w:t>
      </w:r>
      <w:proofErr w:type="gramEnd"/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обавези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приложена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сврху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личности</w:t>
      </w:r>
      <w:proofErr w:type="spellEnd"/>
      <w:r>
        <w:rPr>
          <w:color w:val="000000"/>
        </w:rPr>
        <w:t>.</w:t>
      </w:r>
      <w:proofErr w:type="gramEnd"/>
    </w:p>
    <w:p w:rsidR="00FC6965" w:rsidRDefault="00FC6965" w:rsidP="00FC6965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квоте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одобрена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Владе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положио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После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завршеног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склоности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способности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кандидати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тачке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положили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склоности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способности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рангирају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највише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одобрено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меру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Кандидати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упишу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рангирају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осталим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буџетска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места</w:t>
      </w:r>
      <w:proofErr w:type="spellEnd"/>
      <w:r>
        <w:rPr>
          <w:color w:val="000000"/>
        </w:rPr>
        <w:t>.</w:t>
      </w:r>
      <w:proofErr w:type="gram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Праћење</w:t>
      </w:r>
      <w:proofErr w:type="spell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Приликом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студенти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статусу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рангирају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осталим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задржавају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буџетски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статус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остваре</w:t>
      </w:r>
      <w:proofErr w:type="spellEnd"/>
      <w:r>
        <w:rPr>
          <w:color w:val="000000"/>
        </w:rPr>
        <w:t xml:space="preserve"> 36 ЕСПБ,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високом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образовању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Високошколска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студентима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остварили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буџета</w:t>
      </w:r>
      <w:proofErr w:type="spellEnd"/>
      <w:r>
        <w:rPr>
          <w:color w:val="000000"/>
        </w:rPr>
        <w:t>.</w:t>
      </w:r>
      <w:proofErr w:type="gram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Студенти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статусу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остварују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исхрану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студентским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ресторанима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смештај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студентским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домовима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ученичком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студентском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стандарду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смештај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исхрану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r>
        <w:rPr>
          <w:color w:val="000000"/>
        </w:rPr>
        <w:t>––––––––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1* </w:t>
      </w:r>
      <w:proofErr w:type="spellStart"/>
      <w:r>
        <w:rPr>
          <w:color w:val="000000"/>
        </w:rPr>
        <w:t>Кандидати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конкуришу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канцеларију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подршку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студентима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удружењу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хендикепом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града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упућује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препоруку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одговарајућој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установи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стицању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Контакти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институција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саставу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институција</w:t>
      </w:r>
      <w:proofErr w:type="spell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Центар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хендикепом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Булевар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Зорана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Ђинђића</w:t>
      </w:r>
      <w:proofErr w:type="spellEnd"/>
      <w:r>
        <w:rPr>
          <w:color w:val="000000"/>
        </w:rPr>
        <w:t xml:space="preserve"> 179, 11000, </w:t>
      </w:r>
      <w:proofErr w:type="spellStart"/>
      <w:r>
        <w:rPr>
          <w:color w:val="000000"/>
        </w:rPr>
        <w:t>Београд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телефон</w:t>
      </w:r>
      <w:proofErr w:type="spellEnd"/>
      <w:r>
        <w:rPr>
          <w:color w:val="000000"/>
        </w:rPr>
        <w:t xml:space="preserve"> 011 33 70 686, (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пријављују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саставу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>)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Центар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информисање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односе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јавношћу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Инфо-центар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Зорана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Ђинђића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телефон</w:t>
      </w:r>
      <w:proofErr w:type="spellEnd"/>
      <w:r>
        <w:rPr>
          <w:color w:val="000000"/>
        </w:rPr>
        <w:t xml:space="preserve"> 021 485-2043</w:t>
      </w:r>
      <w:proofErr w:type="gramStart"/>
      <w:r>
        <w:rPr>
          <w:color w:val="000000"/>
        </w:rPr>
        <w:t>,021</w:t>
      </w:r>
      <w:proofErr w:type="gramEnd"/>
      <w:r>
        <w:rPr>
          <w:color w:val="000000"/>
        </w:rPr>
        <w:t xml:space="preserve"> 485 2048 (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пријављују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саставу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Универзитета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Саду</w:t>
      </w:r>
      <w:proofErr w:type="spellEnd"/>
      <w:r>
        <w:rPr>
          <w:color w:val="000000"/>
        </w:rPr>
        <w:t>)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lastRenderedPageBreak/>
        <w:t>Контакти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студентских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заступају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младе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студенте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Удружење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хендикепом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Београда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Димитрија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Туцовића</w:t>
      </w:r>
      <w:proofErr w:type="spellEnd"/>
      <w:r>
        <w:rPr>
          <w:color w:val="000000"/>
        </w:rPr>
        <w:t xml:space="preserve"> 49, </w:t>
      </w:r>
      <w:proofErr w:type="spellStart"/>
      <w:r>
        <w:rPr>
          <w:color w:val="000000"/>
        </w:rPr>
        <w:t>телефон</w:t>
      </w:r>
      <w:proofErr w:type="spellEnd"/>
      <w:r>
        <w:rPr>
          <w:color w:val="000000"/>
        </w:rPr>
        <w:t xml:space="preserve"> 011 39 10 106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Удружење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хендикепом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Крагујевац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Светозара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Марковића</w:t>
      </w:r>
      <w:proofErr w:type="spellEnd"/>
      <w:r>
        <w:rPr>
          <w:color w:val="000000"/>
        </w:rPr>
        <w:t xml:space="preserve"> 7, 34000 </w:t>
      </w:r>
      <w:proofErr w:type="spellStart"/>
      <w:r>
        <w:rPr>
          <w:color w:val="000000"/>
        </w:rPr>
        <w:t>Крагујевац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телефон</w:t>
      </w:r>
      <w:proofErr w:type="spellEnd"/>
      <w:r>
        <w:rPr>
          <w:color w:val="000000"/>
        </w:rPr>
        <w:t xml:space="preserve"> 034 330 547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Нишко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удружење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хендикепом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Бранка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Миљковића</w:t>
      </w:r>
      <w:proofErr w:type="spellEnd"/>
      <w:r>
        <w:rPr>
          <w:color w:val="000000"/>
        </w:rPr>
        <w:t xml:space="preserve"> 1, 18000 </w:t>
      </w:r>
      <w:proofErr w:type="spellStart"/>
      <w:r>
        <w:rPr>
          <w:color w:val="000000"/>
        </w:rPr>
        <w:t>Ниш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телефон</w:t>
      </w:r>
      <w:proofErr w:type="spellEnd"/>
      <w:r>
        <w:rPr>
          <w:color w:val="000000"/>
        </w:rPr>
        <w:t xml:space="preserve"> 063/10-55-100</w:t>
      </w:r>
    </w:p>
    <w:p w:rsidR="00FC6965" w:rsidRDefault="00FC6965" w:rsidP="00FC6965">
      <w:pPr>
        <w:spacing w:after="150"/>
      </w:pPr>
      <w:r>
        <w:rPr>
          <w:color w:val="000000"/>
        </w:rPr>
        <w:t>СМЕРНИЦЕ ЗА ПРИЛАГОЂАВАЊЕ ПРИЈЕМНОГ ИСПИТА ОСОБАМА СА ИНВАЛИДИТЕТОМ КОЈЕ ЖЕЛЕ ДА УПИШУ СТУДИЈЕ У ОКВИРУ ПРОГРАМА АФИРМАТИВНИХ МЕРА УПИСА ЛИЦА СА ИНВАЛИДИТЕТОМ</w:t>
      </w:r>
    </w:p>
    <w:p w:rsidR="00FC6965" w:rsidRDefault="00FC6965" w:rsidP="00FC6965">
      <w:pPr>
        <w:spacing w:after="150"/>
      </w:pPr>
      <w:proofErr w:type="spellStart"/>
      <w:r>
        <w:rPr>
          <w:color w:val="000000"/>
        </w:rPr>
        <w:t>Приликом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пријаве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интегрисаних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оснивач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афирмативних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инвалидитетом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дужан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високошколску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прилагођавања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прилагођавања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најкасније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и/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склоности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способности</w:t>
      </w:r>
      <w:proofErr w:type="spellEnd"/>
      <w:r>
        <w:rPr>
          <w:color w:val="000000"/>
        </w:rPr>
        <w:t>.</w:t>
      </w:r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Високошколска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добијених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информација</w:t>
      </w:r>
      <w:proofErr w:type="spellEnd"/>
      <w:r>
        <w:rPr>
          <w:color w:val="000000"/>
        </w:rPr>
        <w:t xml:space="preserve">, а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могућностима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располаже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мери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могуће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прилагоди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обезбеди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сходно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>.</w:t>
      </w:r>
      <w:proofErr w:type="gramEnd"/>
    </w:p>
    <w:p w:rsidR="00FC6965" w:rsidRDefault="00FC6965" w:rsidP="00FC6965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Прилагођавање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>: 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обезбеђивање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приступачности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>;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обезбеђивање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неопходно</w:t>
      </w:r>
      <w:proofErr w:type="spellEnd"/>
      <w:r>
        <w:rPr>
          <w:color w:val="000000"/>
        </w:rPr>
        <w:t>;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одређивање</w:t>
      </w:r>
      <w:proofErr w:type="spellEnd"/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обезбеђивање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асистирати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и/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присуство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асистента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неопходно</w:t>
      </w:r>
      <w:proofErr w:type="spellEnd"/>
      <w:r>
        <w:rPr>
          <w:color w:val="000000"/>
        </w:rPr>
        <w:t>;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обезбеђивање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асистивне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технологије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нпр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дигитрон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лупа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прилагођена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тастатура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лаптоп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.) </w:t>
      </w:r>
      <w:proofErr w:type="spellStart"/>
      <w:r>
        <w:rPr>
          <w:color w:val="000000"/>
        </w:rPr>
        <w:t>током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асистивне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технологије</w:t>
      </w:r>
      <w:proofErr w:type="spellEnd"/>
      <w:r>
        <w:rPr>
          <w:color w:val="000000"/>
        </w:rPr>
        <w:t xml:space="preserve"> и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обезбеђивање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динамике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продужено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распоређено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интервале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договору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интересу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>).</w:t>
      </w:r>
    </w:p>
    <w:p w:rsidR="00FC6965" w:rsidRDefault="00FC6965" w:rsidP="00FC6965">
      <w:pPr>
        <w:spacing w:after="150"/>
      </w:pPr>
      <w:r>
        <w:rPr>
          <w:color w:val="000000"/>
        </w:rPr>
        <w:lastRenderedPageBreak/>
        <w:t xml:space="preserve">2. </w:t>
      </w:r>
      <w:proofErr w:type="spellStart"/>
      <w:r>
        <w:rPr>
          <w:color w:val="000000"/>
        </w:rPr>
        <w:t>Прилагођавање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материјала</w:t>
      </w:r>
      <w:proofErr w:type="spellEnd"/>
      <w:r>
        <w:rPr>
          <w:color w:val="000000"/>
        </w:rPr>
        <w:t>: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за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сметњама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обезбедити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Брајевом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увећаним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форматом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слика</w:t>
      </w:r>
      <w:proofErr w:type="spellEnd"/>
      <w:r>
        <w:rPr>
          <w:color w:val="000000"/>
        </w:rPr>
        <w:t>. (</w:t>
      </w:r>
      <w:proofErr w:type="spellStart"/>
      <w:proofErr w:type="gramStart"/>
      <w:r>
        <w:rPr>
          <w:color w:val="000000"/>
        </w:rPr>
        <w:t>уколико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средњој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осмишљени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коришћени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испитивања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нпр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пратилац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/и </w:t>
      </w:r>
      <w:proofErr w:type="spellStart"/>
      <w:r>
        <w:rPr>
          <w:color w:val="000000"/>
        </w:rPr>
        <w:t>уписивати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одговоре</w:t>
      </w:r>
      <w:proofErr w:type="spellEnd"/>
      <w:r>
        <w:rPr>
          <w:color w:val="000000"/>
        </w:rPr>
        <w:t>); 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за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сметњама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слуха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уколико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неопходно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обезбедити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употребу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знаковног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језика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разумевању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инструкције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писаној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</w:t>
      </w:r>
      <w:proofErr w:type="spellEnd"/>
      <w:r>
        <w:rPr>
          <w:color w:val="000000"/>
        </w:rPr>
        <w:t>;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за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сметњама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кретању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коришћењу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руку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обезбеђују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асистивне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технологије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уместо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уписивати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тестове</w:t>
      </w:r>
      <w:proofErr w:type="spellEnd"/>
      <w:r>
        <w:rPr>
          <w:color w:val="000000"/>
        </w:rPr>
        <w:t xml:space="preserve"> и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сметњама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читању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писању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разумевању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математичких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дисграфија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дислексија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дискалкулија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високошколска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помагати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разумевању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писању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уместо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усмено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уписивати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тестове</w:t>
      </w:r>
      <w:proofErr w:type="spellEnd"/>
      <w:r>
        <w:rPr>
          <w:color w:val="000000"/>
        </w:rPr>
        <w:t>. </w:t>
      </w:r>
    </w:p>
    <w:p w:rsidR="00FC6965" w:rsidRDefault="00FC6965" w:rsidP="00FC6965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Прилагођавање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</w:p>
    <w:p w:rsidR="00FC6965" w:rsidRDefault="00FC6965" w:rsidP="00FC6965">
      <w:pPr>
        <w:spacing w:after="150"/>
      </w:pPr>
      <w:proofErr w:type="spellStart"/>
      <w:proofErr w:type="gram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нпр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лабораторијска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вежба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урадити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неопходна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прилагођавања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алтернативни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знања</w:t>
      </w:r>
      <w:proofErr w:type="spellEnd"/>
      <w:r>
        <w:rPr>
          <w:color w:val="000000"/>
        </w:rPr>
        <w:t>.</w:t>
      </w:r>
      <w:proofErr w:type="gramEnd"/>
    </w:p>
    <w:p w:rsidR="004A39FF" w:rsidRDefault="004A39FF">
      <w:bookmarkStart w:id="0" w:name="_GoBack"/>
      <w:bookmarkEnd w:id="0"/>
    </w:p>
    <w:sectPr w:rsidR="004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65"/>
    <w:rsid w:val="004A39FF"/>
    <w:rsid w:val="008A07A1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65"/>
    <w:pPr>
      <w:spacing w:after="200" w:line="276" w:lineRule="auto"/>
    </w:pPr>
    <w:rPr>
      <w:rFonts w:ascii="Verdana" w:eastAsiaTheme="minorHAnsi" w:hAnsi="Verdana" w:cs="Verdana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65"/>
    <w:pPr>
      <w:spacing w:after="200" w:line="276" w:lineRule="auto"/>
    </w:pPr>
    <w:rPr>
      <w:rFonts w:ascii="Verdana" w:eastAsiaTheme="minorHAnsi" w:hAnsi="Verdana" w:cs="Verdana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6578</Characters>
  <Application>Microsoft Office Word</Application>
  <DocSecurity>0</DocSecurity>
  <Lines>54</Lines>
  <Paragraphs>15</Paragraphs>
  <ScaleCrop>false</ScaleCrop>
  <Company>Univerzitet u Beogradu - Farmaceutski fakultet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1</cp:revision>
  <dcterms:created xsi:type="dcterms:W3CDTF">2022-06-15T09:09:00Z</dcterms:created>
  <dcterms:modified xsi:type="dcterms:W3CDTF">2022-06-15T09:11:00Z</dcterms:modified>
</cp:coreProperties>
</file>